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622AB" w14:textId="4800C5C0" w:rsidR="008566DB" w:rsidRDefault="00AC27EF" w:rsidP="009E2D03">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P</w:t>
      </w:r>
      <w:r w:rsidR="004D7CF0">
        <w:rPr>
          <w:rFonts w:asciiTheme="majorHAnsi" w:hAnsiTheme="majorHAnsi" w:cstheme="majorHAnsi"/>
          <w:b/>
          <w:bCs/>
          <w:color w:val="990033"/>
          <w:sz w:val="32"/>
          <w:szCs w:val="32"/>
          <w:u w:val="single"/>
        </w:rPr>
        <w:t>olycyclic aromatic hydrocarbons (PAHs)</w:t>
      </w:r>
    </w:p>
    <w:p w14:paraId="4E5164F5" w14:textId="77777777" w:rsidR="004D7CF0" w:rsidRDefault="004D7CF0" w:rsidP="00AC27EF">
      <w:pPr>
        <w:rPr>
          <w:rFonts w:asciiTheme="majorHAnsi" w:hAnsiTheme="majorHAnsi" w:cstheme="majorHAnsi"/>
          <w:b/>
          <w:bCs/>
          <w:sz w:val="22"/>
          <w:szCs w:val="22"/>
        </w:rPr>
      </w:pPr>
    </w:p>
    <w:p w14:paraId="15F02265" w14:textId="239AE1EC" w:rsidR="00AC27EF"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Who is this guidance for?</w:t>
      </w:r>
    </w:p>
    <w:p w14:paraId="07D9E930" w14:textId="77777777" w:rsidR="004D7CF0" w:rsidRPr="004D7CF0" w:rsidRDefault="004D7CF0" w:rsidP="00AC27EF">
      <w:pPr>
        <w:rPr>
          <w:rFonts w:asciiTheme="majorHAnsi" w:hAnsiTheme="majorHAnsi" w:cstheme="majorHAnsi"/>
          <w:b/>
          <w:bCs/>
          <w:i/>
          <w:iCs/>
          <w:sz w:val="22"/>
          <w:szCs w:val="22"/>
        </w:rPr>
      </w:pPr>
    </w:p>
    <w:p w14:paraId="38643EEE" w14:textId="552A3099"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25972B54" w14:textId="5A5E6245" w:rsidR="004D7CF0" w:rsidRDefault="004D7CF0" w:rsidP="00AC27EF">
      <w:pPr>
        <w:rPr>
          <w:rFonts w:asciiTheme="majorHAnsi" w:hAnsiTheme="majorHAnsi" w:cstheme="majorHAnsi"/>
          <w:b/>
          <w:bCs/>
          <w:sz w:val="22"/>
          <w:szCs w:val="22"/>
        </w:rPr>
      </w:pPr>
    </w:p>
    <w:p w14:paraId="684922B3" w14:textId="15102DBA" w:rsidR="004D7CF0" w:rsidRDefault="004D7CF0" w:rsidP="00AC27EF">
      <w:pPr>
        <w:rPr>
          <w:rFonts w:asciiTheme="majorHAnsi" w:hAnsiTheme="majorHAnsi" w:cstheme="majorHAnsi"/>
          <w:b/>
          <w:bCs/>
          <w:sz w:val="22"/>
          <w:szCs w:val="22"/>
        </w:rPr>
      </w:pPr>
    </w:p>
    <w:p w14:paraId="1F3CC3EB" w14:textId="71ECE2F4" w:rsidR="004D7CF0" w:rsidRDefault="004D7CF0" w:rsidP="00AC27EF">
      <w:pPr>
        <w:rPr>
          <w:rFonts w:asciiTheme="majorHAnsi" w:hAnsiTheme="majorHAnsi" w:cstheme="majorHAnsi"/>
          <w:b/>
          <w:bCs/>
          <w:sz w:val="22"/>
          <w:szCs w:val="22"/>
        </w:rPr>
      </w:pPr>
      <w:r w:rsidRPr="004D7CF0">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6A0E3E17" wp14:editId="27CBAE71">
                <wp:simplePos x="0" y="0"/>
                <wp:positionH relativeFrom="margin">
                  <wp:align>right</wp:align>
                </wp:positionH>
                <wp:positionV relativeFrom="paragraph">
                  <wp:posOffset>6350</wp:posOffset>
                </wp:positionV>
                <wp:extent cx="2105025" cy="9906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105025" cy="990600"/>
                        </a:xfrm>
                        <a:prstGeom prst="rect">
                          <a:avLst/>
                        </a:prstGeom>
                        <a:solidFill>
                          <a:schemeClr val="lt1"/>
                        </a:solidFill>
                        <a:ln w="6350">
                          <a:solidFill>
                            <a:prstClr val="black"/>
                          </a:solidFill>
                        </a:ln>
                      </wps:spPr>
                      <wps:txbx>
                        <w:txbxContent>
                          <w:p w14:paraId="00DBC751" w14:textId="77777777" w:rsidR="00AC27EF" w:rsidRPr="004D7CF0"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Hazardous Substances:</w:t>
                            </w:r>
                          </w:p>
                          <w:p w14:paraId="0A7A2953" w14:textId="77777777" w:rsidR="00AC27EF" w:rsidRPr="004D7CF0" w:rsidRDefault="00AC27EF" w:rsidP="00AC27EF">
                            <w:pPr>
                              <w:rPr>
                                <w:rFonts w:asciiTheme="majorHAnsi" w:hAnsiTheme="majorHAnsi" w:cstheme="majorHAnsi"/>
                                <w:bCs/>
                                <w:sz w:val="22"/>
                                <w:szCs w:val="22"/>
                              </w:rPr>
                            </w:pPr>
                            <w:r w:rsidRPr="004D7CF0">
                              <w:rPr>
                                <w:rFonts w:asciiTheme="majorHAnsi" w:hAnsiTheme="majorHAnsi" w:cstheme="majorHAnsi"/>
                                <w:bCs/>
                                <w:color w:val="000000"/>
                                <w:sz w:val="22"/>
                                <w:szCs w:val="22"/>
                              </w:rPr>
                              <w:t>Polycyclic aromatic hydrocarbons</w:t>
                            </w:r>
                          </w:p>
                          <w:p w14:paraId="17E709E1" w14:textId="77777777" w:rsidR="004D7CF0" w:rsidRDefault="004D7CF0" w:rsidP="00AC27EF">
                            <w:pPr>
                              <w:rPr>
                                <w:rFonts w:asciiTheme="majorHAnsi" w:hAnsiTheme="majorHAnsi" w:cstheme="majorHAnsi"/>
                                <w:b/>
                                <w:bCs/>
                                <w:sz w:val="22"/>
                                <w:szCs w:val="22"/>
                              </w:rPr>
                            </w:pPr>
                          </w:p>
                          <w:p w14:paraId="0B8FFFCB" w14:textId="3D163474" w:rsidR="00AC27EF" w:rsidRPr="004D7CF0"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Workplace Exposure Limits:</w:t>
                            </w:r>
                          </w:p>
                          <w:p w14:paraId="2E54B4EC"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 xml:space="preserve">No air </w:t>
                            </w:r>
                            <w:proofErr w:type="gramStart"/>
                            <w:r w:rsidRPr="004D7CF0">
                              <w:rPr>
                                <w:rFonts w:asciiTheme="majorHAnsi" w:hAnsiTheme="majorHAnsi" w:cstheme="majorHAnsi"/>
                                <w:sz w:val="22"/>
                                <w:szCs w:val="22"/>
                              </w:rPr>
                              <w:t>limit</w:t>
                            </w:r>
                            <w:proofErr w:type="gramEnd"/>
                          </w:p>
                          <w:p w14:paraId="02AD9D57" w14:textId="77777777" w:rsidR="00AC27EF" w:rsidRDefault="00AC27EF" w:rsidP="00AC27E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E3E17" id="_x0000_t202" coordsize="21600,21600" o:spt="202" path="m,l,21600r21600,l21600,xe">
                <v:stroke joinstyle="miter"/>
                <v:path gradientshapeok="t" o:connecttype="rect"/>
              </v:shapetype>
              <v:shape id="Text Box 2" o:spid="_x0000_s1026" type="#_x0000_t202" style="position:absolute;margin-left:114.55pt;margin-top:.5pt;width:165.75pt;height:7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" fillcolor="white [3201]" strokeweight=".5pt">
                <v:textbox>
                  <w:txbxContent>
                    <w:p w14:paraId="00DBC751" w14:textId="77777777" w:rsidR="00AC27EF" w:rsidRPr="004D7CF0"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Hazardous Substances:</w:t>
                      </w:r>
                    </w:p>
                    <w:p w14:paraId="0A7A2953" w14:textId="77777777" w:rsidR="00AC27EF" w:rsidRPr="004D7CF0" w:rsidRDefault="00AC27EF" w:rsidP="00AC27EF">
                      <w:pPr>
                        <w:rPr>
                          <w:rFonts w:asciiTheme="majorHAnsi" w:hAnsiTheme="majorHAnsi" w:cstheme="majorHAnsi"/>
                          <w:bCs/>
                          <w:sz w:val="22"/>
                          <w:szCs w:val="22"/>
                        </w:rPr>
                      </w:pPr>
                      <w:r w:rsidRPr="004D7CF0">
                        <w:rPr>
                          <w:rFonts w:asciiTheme="majorHAnsi" w:hAnsiTheme="majorHAnsi" w:cstheme="majorHAnsi"/>
                          <w:bCs/>
                          <w:color w:val="000000"/>
                          <w:sz w:val="22"/>
                          <w:szCs w:val="22"/>
                        </w:rPr>
                        <w:t>Polycyclic aromatic hydrocarbons</w:t>
                      </w:r>
                    </w:p>
                    <w:p w14:paraId="17E709E1" w14:textId="77777777" w:rsidR="004D7CF0" w:rsidRDefault="004D7CF0" w:rsidP="00AC27EF">
                      <w:pPr>
                        <w:rPr>
                          <w:rFonts w:asciiTheme="majorHAnsi" w:hAnsiTheme="majorHAnsi" w:cstheme="majorHAnsi"/>
                          <w:b/>
                          <w:bCs/>
                          <w:sz w:val="22"/>
                          <w:szCs w:val="22"/>
                        </w:rPr>
                      </w:pPr>
                    </w:p>
                    <w:p w14:paraId="0B8FFFCB" w14:textId="3D163474" w:rsidR="00AC27EF" w:rsidRPr="004D7CF0"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Workplace Exposure Limits:</w:t>
                      </w:r>
                    </w:p>
                    <w:p w14:paraId="2E54B4EC"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 xml:space="preserve">No air </w:t>
                      </w:r>
                      <w:proofErr w:type="gramStart"/>
                      <w:r w:rsidRPr="004D7CF0">
                        <w:rPr>
                          <w:rFonts w:asciiTheme="majorHAnsi" w:hAnsiTheme="majorHAnsi" w:cstheme="majorHAnsi"/>
                          <w:sz w:val="22"/>
                          <w:szCs w:val="22"/>
                        </w:rPr>
                        <w:t>limit</w:t>
                      </w:r>
                      <w:proofErr w:type="gramEnd"/>
                    </w:p>
                    <w:p w14:paraId="02AD9D57" w14:textId="77777777" w:rsidR="00AC27EF" w:rsidRDefault="00AC27EF" w:rsidP="00AC27EF"/>
                  </w:txbxContent>
                </v:textbox>
                <w10:wrap anchorx="margin"/>
              </v:shape>
            </w:pict>
          </mc:Fallback>
        </mc:AlternateContent>
      </w:r>
      <w:r w:rsidRPr="004D7CF0">
        <w:rPr>
          <w:rFonts w:asciiTheme="majorHAnsi" w:hAnsiTheme="majorHAnsi" w:cstheme="majorHAnsi"/>
          <w:noProof/>
          <w:sz w:val="22"/>
          <w:szCs w:val="22"/>
        </w:rPr>
        <mc:AlternateContent>
          <mc:Choice Requires="wps">
            <w:drawing>
              <wp:anchor distT="45720" distB="45720" distL="114300" distR="114300" simplePos="0" relativeHeight="251659264" behindDoc="0" locked="0" layoutInCell="1" allowOverlap="1" wp14:anchorId="08C78A38" wp14:editId="138E147A">
                <wp:simplePos x="0" y="0"/>
                <wp:positionH relativeFrom="margin">
                  <wp:align>left</wp:align>
                </wp:positionH>
                <wp:positionV relativeFrom="paragraph">
                  <wp:posOffset>6350</wp:posOffset>
                </wp:positionV>
                <wp:extent cx="3190875" cy="9525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952500"/>
                        </a:xfrm>
                        <a:prstGeom prst="rect">
                          <a:avLst/>
                        </a:prstGeom>
                        <a:solidFill>
                          <a:srgbClr val="FFFFFF"/>
                        </a:solidFill>
                        <a:ln w="9525">
                          <a:solidFill>
                            <a:srgbClr val="000000"/>
                          </a:solidFill>
                          <a:miter lim="800000"/>
                          <a:headEnd/>
                          <a:tailEnd/>
                        </a:ln>
                      </wps:spPr>
                      <wps:txbx>
                        <w:txbxContent>
                          <w:p w14:paraId="3C44F52D" w14:textId="77777777" w:rsidR="00AC27EF" w:rsidRPr="004D7CF0"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Polycyclic aromatic hydrocarbons (PAHs)</w:t>
                            </w:r>
                          </w:p>
                          <w:p w14:paraId="3C7E9A16"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Monitored by analysis of 1-hydroxypyrene in urine</w:t>
                            </w:r>
                          </w:p>
                          <w:p w14:paraId="7A3455E6" w14:textId="77777777" w:rsidR="004D7CF0" w:rsidRDefault="004D7CF0" w:rsidP="00AC27EF">
                            <w:pPr>
                              <w:rPr>
                                <w:rFonts w:asciiTheme="majorHAnsi" w:hAnsiTheme="majorHAnsi" w:cstheme="majorHAnsi"/>
                                <w:b/>
                                <w:bCs/>
                                <w:sz w:val="22"/>
                                <w:szCs w:val="22"/>
                              </w:rPr>
                            </w:pPr>
                          </w:p>
                          <w:p w14:paraId="5FEA168E" w14:textId="09CF8BD6"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b/>
                                <w:bCs/>
                                <w:sz w:val="22"/>
                                <w:szCs w:val="22"/>
                              </w:rPr>
                              <w:t>BMGV</w:t>
                            </w:r>
                            <w:r w:rsidRPr="004D7CF0">
                              <w:rPr>
                                <w:rFonts w:asciiTheme="majorHAnsi" w:hAnsiTheme="majorHAnsi" w:cstheme="majorHAnsi"/>
                                <w:sz w:val="22"/>
                                <w:szCs w:val="22"/>
                              </w:rPr>
                              <w:t>: 4µmol 1-hydroxypyrene /mol creatinine</w:t>
                            </w:r>
                          </w:p>
                          <w:p w14:paraId="32703A40" w14:textId="77777777" w:rsidR="00AC27EF" w:rsidRDefault="00AC27EF" w:rsidP="00AC27E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8A38" id="Text Box 217" o:spid="_x0000_s1027" type="#_x0000_t202" style="position:absolute;margin-left:0;margin-top:.5pt;width:251.25pt;height: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">
                <v:textbox>
                  <w:txbxContent>
                    <w:p w14:paraId="3C44F52D" w14:textId="77777777" w:rsidR="00AC27EF" w:rsidRPr="004D7CF0"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Polycyclic aromatic hydrocarbons (PAHs)</w:t>
                      </w:r>
                    </w:p>
                    <w:p w14:paraId="3C7E9A16"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Monitored by analysis of 1-hydroxypyrene in urine</w:t>
                      </w:r>
                    </w:p>
                    <w:p w14:paraId="7A3455E6" w14:textId="77777777" w:rsidR="004D7CF0" w:rsidRDefault="004D7CF0" w:rsidP="00AC27EF">
                      <w:pPr>
                        <w:rPr>
                          <w:rFonts w:asciiTheme="majorHAnsi" w:hAnsiTheme="majorHAnsi" w:cstheme="majorHAnsi"/>
                          <w:b/>
                          <w:bCs/>
                          <w:sz w:val="22"/>
                          <w:szCs w:val="22"/>
                        </w:rPr>
                      </w:pPr>
                    </w:p>
                    <w:p w14:paraId="5FEA168E" w14:textId="09CF8BD6"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b/>
                          <w:bCs/>
                          <w:sz w:val="22"/>
                          <w:szCs w:val="22"/>
                        </w:rPr>
                        <w:t>BMGV</w:t>
                      </w:r>
                      <w:r w:rsidRPr="004D7CF0">
                        <w:rPr>
                          <w:rFonts w:asciiTheme="majorHAnsi" w:hAnsiTheme="majorHAnsi" w:cstheme="majorHAnsi"/>
                          <w:sz w:val="22"/>
                          <w:szCs w:val="22"/>
                        </w:rPr>
                        <w:t>: 4µmol 1-hydroxypyrene /mol creatinine</w:t>
                      </w:r>
                    </w:p>
                    <w:p w14:paraId="32703A40" w14:textId="77777777" w:rsidR="00AC27EF" w:rsidRDefault="00AC27EF" w:rsidP="00AC27EF"/>
                  </w:txbxContent>
                </v:textbox>
                <w10:wrap type="square" anchorx="margin"/>
              </v:shape>
            </w:pict>
          </mc:Fallback>
        </mc:AlternateContent>
      </w:r>
    </w:p>
    <w:p w14:paraId="7AD1D2E9" w14:textId="373C02B3" w:rsidR="004D7CF0" w:rsidRDefault="004D7CF0" w:rsidP="00AC27EF">
      <w:pPr>
        <w:rPr>
          <w:rFonts w:asciiTheme="majorHAnsi" w:hAnsiTheme="majorHAnsi" w:cstheme="majorHAnsi"/>
          <w:b/>
          <w:bCs/>
          <w:sz w:val="22"/>
          <w:szCs w:val="22"/>
        </w:rPr>
      </w:pPr>
    </w:p>
    <w:p w14:paraId="1CA63FC1" w14:textId="15D5230D" w:rsidR="004D7CF0" w:rsidRDefault="004D7CF0" w:rsidP="00AC27EF">
      <w:pPr>
        <w:rPr>
          <w:rFonts w:asciiTheme="majorHAnsi" w:hAnsiTheme="majorHAnsi" w:cstheme="majorHAnsi"/>
          <w:b/>
          <w:bCs/>
          <w:sz w:val="22"/>
          <w:szCs w:val="22"/>
        </w:rPr>
      </w:pPr>
    </w:p>
    <w:p w14:paraId="7707AC12" w14:textId="77777777" w:rsidR="004D7CF0" w:rsidRDefault="004D7CF0" w:rsidP="00AC27EF">
      <w:pPr>
        <w:rPr>
          <w:rFonts w:asciiTheme="majorHAnsi" w:hAnsiTheme="majorHAnsi" w:cstheme="majorHAnsi"/>
          <w:b/>
          <w:bCs/>
          <w:sz w:val="22"/>
          <w:szCs w:val="22"/>
        </w:rPr>
      </w:pPr>
    </w:p>
    <w:p w14:paraId="3A781CBE" w14:textId="77777777" w:rsidR="004D7CF0" w:rsidRDefault="004D7CF0" w:rsidP="00AC27EF">
      <w:pPr>
        <w:rPr>
          <w:rFonts w:asciiTheme="majorHAnsi" w:hAnsiTheme="majorHAnsi" w:cstheme="majorHAnsi"/>
          <w:b/>
          <w:bCs/>
          <w:i/>
          <w:iCs/>
          <w:sz w:val="22"/>
          <w:szCs w:val="22"/>
        </w:rPr>
      </w:pPr>
    </w:p>
    <w:p w14:paraId="145C75B4" w14:textId="77777777" w:rsidR="004D7CF0" w:rsidRDefault="004D7CF0" w:rsidP="00AC27EF">
      <w:pPr>
        <w:rPr>
          <w:rFonts w:asciiTheme="majorHAnsi" w:hAnsiTheme="majorHAnsi" w:cstheme="majorHAnsi"/>
          <w:b/>
          <w:bCs/>
          <w:i/>
          <w:iCs/>
          <w:sz w:val="22"/>
          <w:szCs w:val="22"/>
        </w:rPr>
      </w:pPr>
    </w:p>
    <w:p w14:paraId="64CAFE52" w14:textId="77777777" w:rsidR="004D7CF0" w:rsidRDefault="004D7CF0" w:rsidP="00AC27EF">
      <w:pPr>
        <w:rPr>
          <w:rFonts w:asciiTheme="majorHAnsi" w:hAnsiTheme="majorHAnsi" w:cstheme="majorHAnsi"/>
          <w:b/>
          <w:bCs/>
          <w:i/>
          <w:iCs/>
          <w:sz w:val="22"/>
          <w:szCs w:val="22"/>
        </w:rPr>
      </w:pPr>
    </w:p>
    <w:p w14:paraId="4A4D1789" w14:textId="77777777" w:rsidR="004D7CF0" w:rsidRDefault="004D7CF0" w:rsidP="00AC27EF">
      <w:pPr>
        <w:rPr>
          <w:rFonts w:asciiTheme="majorHAnsi" w:hAnsiTheme="majorHAnsi" w:cstheme="majorHAnsi"/>
          <w:b/>
          <w:bCs/>
          <w:i/>
          <w:iCs/>
          <w:sz w:val="22"/>
          <w:szCs w:val="22"/>
        </w:rPr>
      </w:pPr>
    </w:p>
    <w:p w14:paraId="78CEF9D0" w14:textId="34C6D102"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Biological Monitoring Guidance Value (BMGV)</w:t>
      </w:r>
    </w:p>
    <w:p w14:paraId="219A5B37" w14:textId="77777777" w:rsidR="004D7CF0" w:rsidRPr="004D7CF0" w:rsidRDefault="004D7CF0" w:rsidP="00AC27EF">
      <w:pPr>
        <w:rPr>
          <w:rFonts w:asciiTheme="majorHAnsi" w:hAnsiTheme="majorHAnsi" w:cstheme="majorHAnsi"/>
          <w:b/>
          <w:bCs/>
          <w:sz w:val="22"/>
          <w:szCs w:val="22"/>
        </w:rPr>
      </w:pPr>
    </w:p>
    <w:p w14:paraId="37529A19"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4µmol 1-hydroxypyrene /mol creatinine</w:t>
      </w:r>
    </w:p>
    <w:p w14:paraId="76EE7C88"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This value is based on the 90</w:t>
      </w:r>
      <w:r w:rsidRPr="004D7CF0">
        <w:rPr>
          <w:rFonts w:asciiTheme="majorHAnsi" w:hAnsiTheme="majorHAnsi" w:cstheme="majorHAnsi"/>
          <w:sz w:val="22"/>
          <w:szCs w:val="22"/>
          <w:vertAlign w:val="superscript"/>
        </w:rPr>
        <w:t>th</w:t>
      </w:r>
      <w:r w:rsidRPr="004D7CF0">
        <w:rPr>
          <w:rFonts w:asciiTheme="majorHAnsi" w:hAnsiTheme="majorHAnsi" w:cstheme="majorHAnsi"/>
          <w:sz w:val="22"/>
          <w:szCs w:val="22"/>
        </w:rPr>
        <w:t xml:space="preserve"> percentile of data from a survey of PAH exposure across a wide range of UK industry.</w:t>
      </w:r>
    </w:p>
    <w:p w14:paraId="362C6A3D" w14:textId="39AA1EA7" w:rsidR="00AC27EF"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PAH are a class of chemicals and there are many individual substances. 1-hydroxypyrene is a metabolite of pyrene. It has been extensively used for biological monitoring and found to be a good indicator of general PAH exposure.</w:t>
      </w:r>
    </w:p>
    <w:p w14:paraId="4E66C60F" w14:textId="77777777" w:rsidR="004D7CF0" w:rsidRPr="004D7CF0" w:rsidRDefault="004D7CF0" w:rsidP="00AC27EF">
      <w:pPr>
        <w:rPr>
          <w:rFonts w:asciiTheme="majorHAnsi" w:hAnsiTheme="majorHAnsi" w:cstheme="majorHAnsi"/>
          <w:sz w:val="22"/>
          <w:szCs w:val="22"/>
        </w:rPr>
      </w:pPr>
    </w:p>
    <w:p w14:paraId="60F47150" w14:textId="57C8FBAC"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Other Guidance Values</w:t>
      </w:r>
    </w:p>
    <w:p w14:paraId="546BE799" w14:textId="77777777" w:rsidR="004D7CF0" w:rsidRPr="004D7CF0" w:rsidRDefault="004D7CF0" w:rsidP="00AC27EF">
      <w:pPr>
        <w:rPr>
          <w:rFonts w:asciiTheme="majorHAnsi" w:hAnsiTheme="majorHAnsi" w:cstheme="majorHAnsi"/>
          <w:b/>
          <w:bCs/>
          <w:sz w:val="22"/>
          <w:szCs w:val="22"/>
        </w:rPr>
      </w:pPr>
    </w:p>
    <w:p w14:paraId="1CABEB06"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The ACGIH BEI for 1-hydroxypyrene is 2.5µg/L (approx.  1 µmol/mol creatinine). Analysis of urine samples from individuals with no known occupational exposure to PAHs indicate that general population background levels are less than 0.4 µmol/mol creatinine (this is the basis of the ACGIH BEI). Germany applies a background reference value of 0.3 µg 1-hydroxypyrene /g creatinine (0.16 µmol/mol creatinine) in non-smokers.</w:t>
      </w:r>
    </w:p>
    <w:p w14:paraId="0A63FA4F" w14:textId="77777777" w:rsidR="00AC27EF" w:rsidRPr="004D7CF0" w:rsidRDefault="00AC27EF" w:rsidP="00AC27EF">
      <w:pPr>
        <w:rPr>
          <w:rFonts w:asciiTheme="majorHAnsi" w:hAnsiTheme="majorHAnsi" w:cstheme="majorHAnsi"/>
          <w:sz w:val="22"/>
          <w:szCs w:val="22"/>
        </w:rPr>
      </w:pPr>
    </w:p>
    <w:p w14:paraId="388653DC" w14:textId="4AA0CAEC"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Sample Collection</w:t>
      </w:r>
    </w:p>
    <w:p w14:paraId="1595A09F" w14:textId="77777777" w:rsidR="004D7CF0" w:rsidRPr="004D7CF0" w:rsidRDefault="004D7CF0" w:rsidP="00AC27EF">
      <w:pPr>
        <w:rPr>
          <w:rFonts w:asciiTheme="majorHAnsi" w:hAnsiTheme="majorHAnsi" w:cstheme="majorHAnsi"/>
          <w:b/>
          <w:bCs/>
          <w:sz w:val="22"/>
          <w:szCs w:val="22"/>
        </w:rPr>
      </w:pPr>
    </w:p>
    <w:p w14:paraId="144BEA61"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Urine samples should be collected at the end of shift, towards the end of the working week into polystyrene universal containers (30mL).</w:t>
      </w:r>
    </w:p>
    <w:p w14:paraId="3F6B3B58" w14:textId="4BEFEC02" w:rsidR="00AC27EF" w:rsidRDefault="00AC27EF" w:rsidP="00AC27EF">
      <w:pPr>
        <w:rPr>
          <w:rFonts w:asciiTheme="majorHAnsi" w:hAnsiTheme="majorHAnsi" w:cstheme="majorHAnsi"/>
          <w:i/>
          <w:iCs/>
          <w:sz w:val="22"/>
          <w:szCs w:val="22"/>
        </w:rPr>
      </w:pPr>
    </w:p>
    <w:p w14:paraId="4E3DE317" w14:textId="77777777" w:rsidR="004D7CF0" w:rsidRPr="004D7CF0" w:rsidRDefault="004D7CF0" w:rsidP="00AC27EF">
      <w:pPr>
        <w:rPr>
          <w:rFonts w:asciiTheme="majorHAnsi" w:hAnsiTheme="majorHAnsi" w:cstheme="majorHAnsi"/>
          <w:i/>
          <w:iCs/>
          <w:sz w:val="22"/>
          <w:szCs w:val="22"/>
        </w:rPr>
      </w:pPr>
    </w:p>
    <w:p w14:paraId="0FD069FA" w14:textId="283FA1EB"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lastRenderedPageBreak/>
        <w:t>Sample Transport to Laboratory</w:t>
      </w:r>
    </w:p>
    <w:p w14:paraId="2C338A04" w14:textId="77777777" w:rsidR="004D7CF0" w:rsidRPr="004D7CF0" w:rsidRDefault="004D7CF0" w:rsidP="00AC27EF">
      <w:pPr>
        <w:rPr>
          <w:rFonts w:asciiTheme="majorHAnsi" w:hAnsiTheme="majorHAnsi" w:cstheme="majorHAnsi"/>
          <w:b/>
          <w:bCs/>
          <w:i/>
          <w:iCs/>
          <w:sz w:val="22"/>
          <w:szCs w:val="22"/>
        </w:rPr>
      </w:pPr>
    </w:p>
    <w:p w14:paraId="6525DBFA" w14:textId="77777777" w:rsid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w:t>
      </w:r>
    </w:p>
    <w:p w14:paraId="497E487A" w14:textId="69174C81" w:rsidR="00AC27EF"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available. Samples are stable for up to 7 days when stored refrigerated. Packaging must comply with relevant postal regulations for biological samples (UN3373).</w:t>
      </w:r>
    </w:p>
    <w:p w14:paraId="3DDEF077" w14:textId="77777777" w:rsidR="004D7CF0" w:rsidRPr="004D7CF0" w:rsidRDefault="004D7CF0" w:rsidP="00AC27EF">
      <w:pPr>
        <w:rPr>
          <w:rFonts w:asciiTheme="majorHAnsi" w:hAnsiTheme="majorHAnsi" w:cstheme="majorHAnsi"/>
          <w:sz w:val="22"/>
          <w:szCs w:val="22"/>
          <w:highlight w:val="yellow"/>
        </w:rPr>
      </w:pPr>
    </w:p>
    <w:p w14:paraId="0CAF540E" w14:textId="6D8E5808" w:rsidR="00AC27EF" w:rsidRPr="004D7CF0" w:rsidRDefault="004D7CF0" w:rsidP="00AC27EF">
      <w:pPr>
        <w:rPr>
          <w:rFonts w:asciiTheme="majorHAnsi" w:hAnsiTheme="majorHAnsi" w:cstheme="majorHAnsi"/>
          <w:sz w:val="22"/>
          <w:szCs w:val="22"/>
          <w:highlight w:val="yellow"/>
        </w:rPr>
      </w:pPr>
      <w:r w:rsidRPr="004D7CF0">
        <w:rPr>
          <w:rFonts w:asciiTheme="majorHAnsi" w:hAnsiTheme="majorHAnsi" w:cstheme="majorHAnsi"/>
          <w:noProof/>
          <w:sz w:val="22"/>
          <w:szCs w:val="22"/>
        </w:rPr>
        <mc:AlternateContent>
          <mc:Choice Requires="wps">
            <w:drawing>
              <wp:inline distT="0" distB="0" distL="0" distR="0" wp14:anchorId="08D42677" wp14:editId="64C8A082">
                <wp:extent cx="5410200" cy="21717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171700"/>
                        </a:xfrm>
                        <a:prstGeom prst="rect">
                          <a:avLst/>
                        </a:prstGeom>
                        <a:solidFill>
                          <a:srgbClr val="FFFFFF"/>
                        </a:solidFill>
                        <a:ln w="9525">
                          <a:solidFill>
                            <a:srgbClr val="000000"/>
                          </a:solidFill>
                          <a:miter lim="800000"/>
                          <a:headEnd/>
                          <a:tailEnd/>
                        </a:ln>
                      </wps:spPr>
                      <wps:txbx>
                        <w:txbxContent>
                          <w:p w14:paraId="4525867E" w14:textId="22A0CB6B" w:rsidR="004D7CF0" w:rsidRPr="004D7CF0" w:rsidRDefault="004D7CF0" w:rsidP="004D7CF0">
                            <w:pPr>
                              <w:rPr>
                                <w:rFonts w:asciiTheme="majorHAnsi" w:hAnsiTheme="majorHAnsi" w:cstheme="majorHAnsi"/>
                                <w:b/>
                                <w:bCs/>
                                <w:sz w:val="22"/>
                                <w:szCs w:val="22"/>
                              </w:rPr>
                            </w:pPr>
                            <w:r w:rsidRPr="004D7CF0">
                              <w:rPr>
                                <w:rFonts w:asciiTheme="majorHAnsi" w:hAnsiTheme="majorHAnsi" w:cstheme="majorHAnsi"/>
                                <w:b/>
                                <w:bCs/>
                                <w:sz w:val="22"/>
                                <w:szCs w:val="22"/>
                              </w:rPr>
                              <w:t xml:space="preserve">Suggested Method and Analytical Evaluation </w:t>
                            </w:r>
                          </w:p>
                          <w:p w14:paraId="0DA889BD" w14:textId="77777777" w:rsidR="004D7CF0" w:rsidRPr="004D7CF0" w:rsidRDefault="004D7CF0" w:rsidP="004D7CF0">
                            <w:pPr>
                              <w:rPr>
                                <w:rFonts w:asciiTheme="majorHAnsi" w:hAnsiTheme="majorHAnsi" w:cstheme="majorHAnsi"/>
                                <w:b/>
                                <w:bCs/>
                                <w:sz w:val="22"/>
                                <w:szCs w:val="22"/>
                              </w:rPr>
                            </w:pPr>
                          </w:p>
                          <w:p w14:paraId="19B4B772" w14:textId="77777777" w:rsidR="004D7CF0" w:rsidRPr="004D7CF0" w:rsidRDefault="004D7CF0" w:rsidP="004D7CF0">
                            <w:pPr>
                              <w:rPr>
                                <w:rFonts w:asciiTheme="majorHAnsi" w:hAnsiTheme="majorHAnsi" w:cstheme="majorHAnsi"/>
                                <w:bCs/>
                                <w:sz w:val="22"/>
                                <w:szCs w:val="22"/>
                              </w:rPr>
                            </w:pPr>
                            <w:r w:rsidRPr="004D7CF0">
                              <w:rPr>
                                <w:rFonts w:asciiTheme="majorHAnsi" w:hAnsiTheme="majorHAnsi" w:cstheme="majorHAnsi"/>
                                <w:bCs/>
                                <w:sz w:val="22"/>
                                <w:szCs w:val="22"/>
                              </w:rPr>
                              <w:t>Analytical technique: Liquid chromatography with fluorescence detection following sample treatment to hydrolyse conjugated metabolites.</w:t>
                            </w:r>
                          </w:p>
                          <w:p w14:paraId="44EE4A1C"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Detection limit: 5nmol/L (3 x background)</w:t>
                            </w:r>
                          </w:p>
                          <w:p w14:paraId="049DE8C5"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Calibration range: </w:t>
                            </w:r>
                            <w:proofErr w:type="gramStart"/>
                            <w:r w:rsidRPr="004D7CF0">
                              <w:rPr>
                                <w:rFonts w:asciiTheme="majorHAnsi" w:hAnsiTheme="majorHAnsi" w:cstheme="majorHAnsi"/>
                                <w:sz w:val="22"/>
                                <w:szCs w:val="22"/>
                              </w:rPr>
                              <w:t>Typically</w:t>
                            </w:r>
                            <w:proofErr w:type="gramEnd"/>
                            <w:r w:rsidRPr="004D7CF0">
                              <w:rPr>
                                <w:rFonts w:asciiTheme="majorHAnsi" w:hAnsiTheme="majorHAnsi" w:cstheme="majorHAnsi"/>
                                <w:sz w:val="22"/>
                                <w:szCs w:val="22"/>
                              </w:rPr>
                              <w:t xml:space="preserve"> 5-100 nmol/L</w:t>
                            </w:r>
                          </w:p>
                          <w:p w14:paraId="38F783D1"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Precision:</w:t>
                            </w:r>
                          </w:p>
                          <w:p w14:paraId="0A88AFE3"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 </w:t>
                            </w:r>
                            <w:proofErr w:type="gramStart"/>
                            <w:r w:rsidRPr="004D7CF0">
                              <w:rPr>
                                <w:rFonts w:asciiTheme="majorHAnsi" w:hAnsiTheme="majorHAnsi" w:cstheme="majorHAnsi"/>
                                <w:sz w:val="22"/>
                                <w:szCs w:val="22"/>
                              </w:rPr>
                              <w:t>within  day</w:t>
                            </w:r>
                            <w:proofErr w:type="gramEnd"/>
                            <w:r w:rsidRPr="004D7CF0">
                              <w:rPr>
                                <w:rFonts w:asciiTheme="majorHAnsi" w:hAnsiTheme="majorHAnsi" w:cstheme="majorHAnsi"/>
                                <w:sz w:val="22"/>
                                <w:szCs w:val="22"/>
                              </w:rPr>
                              <w:t xml:space="preserve"> &lt;8% RSD at 40nmol/L</w:t>
                            </w:r>
                          </w:p>
                          <w:p w14:paraId="38D04B77"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day to day &lt;7% RSD at 250μmol/L</w:t>
                            </w:r>
                          </w:p>
                          <w:p w14:paraId="29EBF052"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Sample stability: 2 days at ambient </w:t>
                            </w:r>
                            <w:proofErr w:type="gramStart"/>
                            <w:r w:rsidRPr="004D7CF0">
                              <w:rPr>
                                <w:rFonts w:asciiTheme="majorHAnsi" w:hAnsiTheme="majorHAnsi" w:cstheme="majorHAnsi"/>
                                <w:sz w:val="22"/>
                                <w:szCs w:val="22"/>
                              </w:rPr>
                              <w:t>temperature,  &gt;</w:t>
                            </w:r>
                            <w:proofErr w:type="gramEnd"/>
                            <w:r w:rsidRPr="004D7CF0">
                              <w:rPr>
                                <w:rFonts w:asciiTheme="majorHAnsi" w:hAnsiTheme="majorHAnsi" w:cstheme="majorHAnsi"/>
                                <w:sz w:val="22"/>
                                <w:szCs w:val="22"/>
                              </w:rPr>
                              <w:t>3 months at 20°C</w:t>
                            </w:r>
                          </w:p>
                          <w:p w14:paraId="5B6F3654"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Analytical Interferences: None known </w:t>
                            </w:r>
                          </w:p>
                          <w:p w14:paraId="54842BBA"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Quality assurance: GEQAS (www.g-equas.de).</w:t>
                            </w:r>
                          </w:p>
                        </w:txbxContent>
                      </wps:txbx>
                      <wps:bodyPr rot="0" vert="horz" wrap="square" lIns="91440" tIns="45720" rIns="91440" bIns="45720" anchor="t" anchorCtr="0" upright="1">
                        <a:noAutofit/>
                      </wps:bodyPr>
                    </wps:wsp>
                  </a:graphicData>
                </a:graphic>
              </wp:inline>
            </w:drawing>
          </mc:Choice>
          <mc:Fallback>
            <w:pict>
              <v:shape w14:anchorId="08D42677" id="Text Box 1" o:spid="_x0000_s1028" type="#_x0000_t202" style="width:426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">
                <v:textbox>
                  <w:txbxContent>
                    <w:p w14:paraId="4525867E" w14:textId="22A0CB6B" w:rsidR="004D7CF0" w:rsidRPr="004D7CF0" w:rsidRDefault="004D7CF0" w:rsidP="004D7CF0">
                      <w:pPr>
                        <w:rPr>
                          <w:rFonts w:asciiTheme="majorHAnsi" w:hAnsiTheme="majorHAnsi" w:cstheme="majorHAnsi"/>
                          <w:b/>
                          <w:bCs/>
                          <w:sz w:val="22"/>
                          <w:szCs w:val="22"/>
                        </w:rPr>
                      </w:pPr>
                      <w:r w:rsidRPr="004D7CF0">
                        <w:rPr>
                          <w:rFonts w:asciiTheme="majorHAnsi" w:hAnsiTheme="majorHAnsi" w:cstheme="majorHAnsi"/>
                          <w:b/>
                          <w:bCs/>
                          <w:sz w:val="22"/>
                          <w:szCs w:val="22"/>
                        </w:rPr>
                        <w:t xml:space="preserve">Suggested Method and Analytical Evaluation </w:t>
                      </w:r>
                    </w:p>
                    <w:p w14:paraId="0DA889BD" w14:textId="77777777" w:rsidR="004D7CF0" w:rsidRPr="004D7CF0" w:rsidRDefault="004D7CF0" w:rsidP="004D7CF0">
                      <w:pPr>
                        <w:rPr>
                          <w:rFonts w:asciiTheme="majorHAnsi" w:hAnsiTheme="majorHAnsi" w:cstheme="majorHAnsi"/>
                          <w:b/>
                          <w:bCs/>
                          <w:sz w:val="22"/>
                          <w:szCs w:val="22"/>
                        </w:rPr>
                      </w:pPr>
                    </w:p>
                    <w:p w14:paraId="19B4B772" w14:textId="77777777" w:rsidR="004D7CF0" w:rsidRPr="004D7CF0" w:rsidRDefault="004D7CF0" w:rsidP="004D7CF0">
                      <w:pPr>
                        <w:rPr>
                          <w:rFonts w:asciiTheme="majorHAnsi" w:hAnsiTheme="majorHAnsi" w:cstheme="majorHAnsi"/>
                          <w:bCs/>
                          <w:sz w:val="22"/>
                          <w:szCs w:val="22"/>
                        </w:rPr>
                      </w:pPr>
                      <w:r w:rsidRPr="004D7CF0">
                        <w:rPr>
                          <w:rFonts w:asciiTheme="majorHAnsi" w:hAnsiTheme="majorHAnsi" w:cstheme="majorHAnsi"/>
                          <w:bCs/>
                          <w:sz w:val="22"/>
                          <w:szCs w:val="22"/>
                        </w:rPr>
                        <w:t>Analytical technique: Liquid chromatography with fluorescence detection following sample treatment to hydrolyse conjugated metabolites.</w:t>
                      </w:r>
                    </w:p>
                    <w:p w14:paraId="44EE4A1C"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Detection limit: 5nmol/L (3 x background)</w:t>
                      </w:r>
                    </w:p>
                    <w:p w14:paraId="049DE8C5"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Calibration range: </w:t>
                      </w:r>
                      <w:proofErr w:type="gramStart"/>
                      <w:r w:rsidRPr="004D7CF0">
                        <w:rPr>
                          <w:rFonts w:asciiTheme="majorHAnsi" w:hAnsiTheme="majorHAnsi" w:cstheme="majorHAnsi"/>
                          <w:sz w:val="22"/>
                          <w:szCs w:val="22"/>
                        </w:rPr>
                        <w:t>Typically</w:t>
                      </w:r>
                      <w:proofErr w:type="gramEnd"/>
                      <w:r w:rsidRPr="004D7CF0">
                        <w:rPr>
                          <w:rFonts w:asciiTheme="majorHAnsi" w:hAnsiTheme="majorHAnsi" w:cstheme="majorHAnsi"/>
                          <w:sz w:val="22"/>
                          <w:szCs w:val="22"/>
                        </w:rPr>
                        <w:t xml:space="preserve"> 5-100 nmol/L</w:t>
                      </w:r>
                    </w:p>
                    <w:p w14:paraId="38F783D1"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Precision:</w:t>
                      </w:r>
                    </w:p>
                    <w:p w14:paraId="0A88AFE3"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 </w:t>
                      </w:r>
                      <w:proofErr w:type="gramStart"/>
                      <w:r w:rsidRPr="004D7CF0">
                        <w:rPr>
                          <w:rFonts w:asciiTheme="majorHAnsi" w:hAnsiTheme="majorHAnsi" w:cstheme="majorHAnsi"/>
                          <w:sz w:val="22"/>
                          <w:szCs w:val="22"/>
                        </w:rPr>
                        <w:t>within  day</w:t>
                      </w:r>
                      <w:proofErr w:type="gramEnd"/>
                      <w:r w:rsidRPr="004D7CF0">
                        <w:rPr>
                          <w:rFonts w:asciiTheme="majorHAnsi" w:hAnsiTheme="majorHAnsi" w:cstheme="majorHAnsi"/>
                          <w:sz w:val="22"/>
                          <w:szCs w:val="22"/>
                        </w:rPr>
                        <w:t xml:space="preserve"> &lt;8% RSD at 40nmol/L</w:t>
                      </w:r>
                    </w:p>
                    <w:p w14:paraId="38D04B77"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day to day &lt;7% RSD at 250μmol/L</w:t>
                      </w:r>
                    </w:p>
                    <w:p w14:paraId="29EBF052"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Sample stability: 2 days at ambient </w:t>
                      </w:r>
                      <w:proofErr w:type="gramStart"/>
                      <w:r w:rsidRPr="004D7CF0">
                        <w:rPr>
                          <w:rFonts w:asciiTheme="majorHAnsi" w:hAnsiTheme="majorHAnsi" w:cstheme="majorHAnsi"/>
                          <w:sz w:val="22"/>
                          <w:szCs w:val="22"/>
                        </w:rPr>
                        <w:t>temperature,  &gt;</w:t>
                      </w:r>
                      <w:proofErr w:type="gramEnd"/>
                      <w:r w:rsidRPr="004D7CF0">
                        <w:rPr>
                          <w:rFonts w:asciiTheme="majorHAnsi" w:hAnsiTheme="majorHAnsi" w:cstheme="majorHAnsi"/>
                          <w:sz w:val="22"/>
                          <w:szCs w:val="22"/>
                        </w:rPr>
                        <w:t>3 months at 20°C</w:t>
                      </w:r>
                    </w:p>
                    <w:p w14:paraId="5B6F3654"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 xml:space="preserve">Analytical Interferences: None known </w:t>
                      </w:r>
                    </w:p>
                    <w:p w14:paraId="54842BBA" w14:textId="77777777" w:rsidR="004D7CF0" w:rsidRPr="004D7CF0" w:rsidRDefault="004D7CF0" w:rsidP="004D7CF0">
                      <w:pPr>
                        <w:rPr>
                          <w:rFonts w:asciiTheme="majorHAnsi" w:hAnsiTheme="majorHAnsi" w:cstheme="majorHAnsi"/>
                          <w:sz w:val="22"/>
                          <w:szCs w:val="22"/>
                        </w:rPr>
                      </w:pPr>
                      <w:r w:rsidRPr="004D7CF0">
                        <w:rPr>
                          <w:rFonts w:asciiTheme="majorHAnsi" w:hAnsiTheme="majorHAnsi" w:cstheme="majorHAnsi"/>
                          <w:sz w:val="22"/>
                          <w:szCs w:val="22"/>
                        </w:rPr>
                        <w:t>Quality assurance: GEQAS (www.g-equas.de).</w:t>
                      </w:r>
                    </w:p>
                  </w:txbxContent>
                </v:textbox>
                <w10:anchorlock/>
              </v:shape>
            </w:pict>
          </mc:Fallback>
        </mc:AlternateContent>
      </w:r>
    </w:p>
    <w:p w14:paraId="46AE112A" w14:textId="77777777" w:rsidR="00AC27EF" w:rsidRPr="004D7CF0" w:rsidRDefault="00AC27EF" w:rsidP="00AC27EF">
      <w:pPr>
        <w:rPr>
          <w:rFonts w:asciiTheme="majorHAnsi" w:hAnsiTheme="majorHAnsi" w:cstheme="majorHAnsi"/>
          <w:b/>
          <w:bCs/>
          <w:sz w:val="22"/>
          <w:szCs w:val="22"/>
        </w:rPr>
      </w:pPr>
    </w:p>
    <w:p w14:paraId="1ED565E1" w14:textId="7FC27955"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When to take a sample</w:t>
      </w:r>
    </w:p>
    <w:p w14:paraId="62B5B779" w14:textId="77777777" w:rsidR="004D7CF0" w:rsidRPr="004D7CF0" w:rsidRDefault="004D7CF0" w:rsidP="00AC27EF">
      <w:pPr>
        <w:rPr>
          <w:rFonts w:asciiTheme="majorHAnsi" w:hAnsiTheme="majorHAnsi" w:cstheme="majorHAnsi"/>
          <w:b/>
          <w:bCs/>
          <w:sz w:val="22"/>
          <w:szCs w:val="22"/>
        </w:rPr>
      </w:pPr>
    </w:p>
    <w:p w14:paraId="7BB2389C"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7F32AAA2"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 xml:space="preserve">PAHs are a complex mixture of substances that undergo a variety of metabolic reactions to give rise to multiple phenolic metabolites. Urinary elimination of 1 </w:t>
      </w:r>
      <w:proofErr w:type="spellStart"/>
      <w:r w:rsidRPr="004D7CF0">
        <w:rPr>
          <w:rFonts w:asciiTheme="majorHAnsi" w:hAnsiTheme="majorHAnsi" w:cstheme="majorHAnsi"/>
          <w:sz w:val="22"/>
          <w:szCs w:val="22"/>
        </w:rPr>
        <w:t>hydroxypyrene</w:t>
      </w:r>
      <w:proofErr w:type="spellEnd"/>
      <w:r w:rsidRPr="004D7CF0">
        <w:rPr>
          <w:rFonts w:asciiTheme="majorHAnsi" w:hAnsiTheme="majorHAnsi" w:cstheme="majorHAnsi"/>
          <w:sz w:val="22"/>
          <w:szCs w:val="22"/>
        </w:rPr>
        <w:t xml:space="preserve"> is tri-phasic with half-lives of 5.5, 23 and over 300 hours. Consequently, there is some accumulation over consecutive days of exposure.  A post-shift sample will reflect that day’s </w:t>
      </w:r>
      <w:proofErr w:type="gramStart"/>
      <w:r w:rsidRPr="004D7CF0">
        <w:rPr>
          <w:rFonts w:asciiTheme="majorHAnsi" w:hAnsiTheme="majorHAnsi" w:cstheme="majorHAnsi"/>
          <w:sz w:val="22"/>
          <w:szCs w:val="22"/>
        </w:rPr>
        <w:t>exposure ,</w:t>
      </w:r>
      <w:proofErr w:type="gramEnd"/>
      <w:r w:rsidRPr="004D7CF0">
        <w:rPr>
          <w:rFonts w:asciiTheme="majorHAnsi" w:hAnsiTheme="majorHAnsi" w:cstheme="majorHAnsi"/>
          <w:sz w:val="22"/>
          <w:szCs w:val="22"/>
        </w:rPr>
        <w:t xml:space="preserve"> but will also be influenced by exposure during the previous few days. Hence it is recommended to sample towards the end of the working week or shift pattern.</w:t>
      </w:r>
    </w:p>
    <w:p w14:paraId="55C913B1" w14:textId="704C9810" w:rsidR="00AC27EF"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Skin exposure and subsequent uptake via the dermal route can be a significant route of exposure to PAHs. Absorption through skin is delayed by several hours, often leading to higher levels in next-day pre-work samples.</w:t>
      </w:r>
    </w:p>
    <w:p w14:paraId="4572885C" w14:textId="77777777" w:rsidR="004D7CF0" w:rsidRPr="004D7CF0" w:rsidRDefault="004D7CF0" w:rsidP="00AC27EF">
      <w:pPr>
        <w:rPr>
          <w:rFonts w:asciiTheme="majorHAnsi" w:hAnsiTheme="majorHAnsi" w:cstheme="majorHAnsi"/>
          <w:sz w:val="22"/>
          <w:szCs w:val="22"/>
        </w:rPr>
      </w:pPr>
    </w:p>
    <w:p w14:paraId="1E055D79" w14:textId="55E616A6" w:rsidR="00AC27EF"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Other Information</w:t>
      </w:r>
    </w:p>
    <w:p w14:paraId="76FFC75A" w14:textId="77777777" w:rsidR="004D7CF0" w:rsidRPr="004D7CF0" w:rsidRDefault="004D7CF0" w:rsidP="00AC27EF">
      <w:pPr>
        <w:rPr>
          <w:rFonts w:asciiTheme="majorHAnsi" w:hAnsiTheme="majorHAnsi" w:cstheme="majorHAnsi"/>
          <w:b/>
          <w:bCs/>
          <w:sz w:val="22"/>
          <w:szCs w:val="22"/>
        </w:rPr>
      </w:pPr>
    </w:p>
    <w:p w14:paraId="4EDF9B36" w14:textId="4D8FBADC"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Confounding factors</w:t>
      </w:r>
    </w:p>
    <w:p w14:paraId="1E006ACE" w14:textId="77777777" w:rsidR="004D7CF0" w:rsidRPr="004D7CF0" w:rsidRDefault="004D7CF0" w:rsidP="00AC27EF">
      <w:pPr>
        <w:rPr>
          <w:rFonts w:asciiTheme="majorHAnsi" w:hAnsiTheme="majorHAnsi" w:cstheme="majorHAnsi"/>
          <w:b/>
          <w:bCs/>
          <w:sz w:val="22"/>
          <w:szCs w:val="22"/>
        </w:rPr>
      </w:pPr>
    </w:p>
    <w:p w14:paraId="73523F8E" w14:textId="110E355C" w:rsidR="00AC27EF"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PAHs are produced during combustion. Exposure can occur when breathing air contaminated with motor vehicle exhaust, cigarette smoke, wood smoke, or fumes from asphalt roads. Use of coal tar products (</w:t>
      </w:r>
      <w:proofErr w:type="gramStart"/>
      <w:r w:rsidRPr="004D7CF0">
        <w:rPr>
          <w:rFonts w:asciiTheme="majorHAnsi" w:hAnsiTheme="majorHAnsi" w:cstheme="majorHAnsi"/>
          <w:sz w:val="22"/>
          <w:szCs w:val="22"/>
        </w:rPr>
        <w:t>e.g.</w:t>
      </w:r>
      <w:proofErr w:type="gramEnd"/>
      <w:r w:rsidRPr="004D7CF0">
        <w:rPr>
          <w:rFonts w:asciiTheme="majorHAnsi" w:hAnsiTheme="majorHAnsi" w:cstheme="majorHAnsi"/>
          <w:sz w:val="22"/>
          <w:szCs w:val="22"/>
        </w:rPr>
        <w:t xml:space="preserve"> shampoos) can increase 1-hydroxypyrene levels significantly and any use should be noted. Eating smoked, barbecued or heavily charred food can raise 1-hydroxypyrene levels. Smokers will have higher levels than non-smokers.</w:t>
      </w:r>
    </w:p>
    <w:p w14:paraId="6921B9B3" w14:textId="4DDDF978" w:rsidR="004D7CF0" w:rsidRDefault="004D7CF0" w:rsidP="00AC27EF">
      <w:pPr>
        <w:rPr>
          <w:rFonts w:asciiTheme="majorHAnsi" w:hAnsiTheme="majorHAnsi" w:cstheme="majorHAnsi"/>
          <w:sz w:val="22"/>
          <w:szCs w:val="22"/>
        </w:rPr>
      </w:pPr>
    </w:p>
    <w:p w14:paraId="57B84A95" w14:textId="77777777" w:rsidR="004D7CF0" w:rsidRPr="004D7CF0" w:rsidRDefault="004D7CF0" w:rsidP="00AC27EF">
      <w:pPr>
        <w:rPr>
          <w:rFonts w:asciiTheme="majorHAnsi" w:hAnsiTheme="majorHAnsi" w:cstheme="majorHAnsi"/>
          <w:sz w:val="22"/>
          <w:szCs w:val="22"/>
        </w:rPr>
      </w:pPr>
    </w:p>
    <w:p w14:paraId="355D1BBB" w14:textId="541215BD"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lastRenderedPageBreak/>
        <w:t>Unexposed level</w:t>
      </w:r>
    </w:p>
    <w:p w14:paraId="54D8C4CE" w14:textId="77777777" w:rsidR="004D7CF0" w:rsidRPr="004D7CF0" w:rsidRDefault="004D7CF0" w:rsidP="00AC27EF">
      <w:pPr>
        <w:rPr>
          <w:rFonts w:asciiTheme="majorHAnsi" w:hAnsiTheme="majorHAnsi" w:cstheme="majorHAnsi"/>
          <w:b/>
          <w:bCs/>
          <w:sz w:val="22"/>
          <w:szCs w:val="22"/>
        </w:rPr>
      </w:pPr>
    </w:p>
    <w:p w14:paraId="4FFD9333"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 xml:space="preserve">&lt;0.4 </w:t>
      </w:r>
      <w:proofErr w:type="spellStart"/>
      <w:r w:rsidRPr="004D7CF0">
        <w:rPr>
          <w:rFonts w:asciiTheme="majorHAnsi" w:hAnsiTheme="majorHAnsi" w:cstheme="majorHAnsi"/>
          <w:sz w:val="22"/>
          <w:szCs w:val="22"/>
        </w:rPr>
        <w:t>μmol</w:t>
      </w:r>
      <w:proofErr w:type="spellEnd"/>
      <w:r w:rsidRPr="004D7CF0">
        <w:rPr>
          <w:rFonts w:asciiTheme="majorHAnsi" w:hAnsiTheme="majorHAnsi" w:cstheme="majorHAnsi"/>
          <w:sz w:val="22"/>
          <w:szCs w:val="22"/>
        </w:rPr>
        <w:t xml:space="preserve"> 1-hydroxypyrene/mol creatinine.</w:t>
      </w:r>
    </w:p>
    <w:p w14:paraId="4E04E331" w14:textId="77777777" w:rsidR="00AC27EF" w:rsidRPr="004D7CF0" w:rsidRDefault="00AC27EF" w:rsidP="00AC27EF">
      <w:pPr>
        <w:rPr>
          <w:rFonts w:asciiTheme="majorHAnsi" w:hAnsiTheme="majorHAnsi" w:cstheme="majorHAnsi"/>
          <w:b/>
          <w:bCs/>
          <w:sz w:val="22"/>
          <w:szCs w:val="22"/>
        </w:rPr>
      </w:pPr>
      <w:r w:rsidRPr="004D7CF0">
        <w:rPr>
          <w:rFonts w:asciiTheme="majorHAnsi" w:hAnsiTheme="majorHAnsi" w:cstheme="majorHAnsi"/>
          <w:b/>
          <w:bCs/>
          <w:sz w:val="22"/>
          <w:szCs w:val="22"/>
        </w:rPr>
        <w:t xml:space="preserve">Creatinine correction is advised </w:t>
      </w:r>
    </w:p>
    <w:p w14:paraId="2C8CBC92" w14:textId="77777777" w:rsidR="00AC27EF" w:rsidRPr="004D7CF0" w:rsidRDefault="00AC27EF" w:rsidP="00AC27EF">
      <w:pPr>
        <w:rPr>
          <w:rFonts w:asciiTheme="majorHAnsi" w:hAnsiTheme="majorHAnsi" w:cstheme="majorHAnsi"/>
          <w:i/>
          <w:iCs/>
          <w:sz w:val="22"/>
          <w:szCs w:val="22"/>
        </w:rPr>
      </w:pPr>
    </w:p>
    <w:p w14:paraId="2E2B0ADA" w14:textId="1B03082D"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 xml:space="preserve">Interpretation </w:t>
      </w:r>
    </w:p>
    <w:p w14:paraId="5E5D6B0E" w14:textId="77777777" w:rsidR="004D7CF0" w:rsidRPr="004D7CF0" w:rsidRDefault="004D7CF0" w:rsidP="00AC27EF">
      <w:pPr>
        <w:rPr>
          <w:rFonts w:asciiTheme="majorHAnsi" w:hAnsiTheme="majorHAnsi" w:cstheme="majorHAnsi"/>
          <w:b/>
          <w:bCs/>
          <w:sz w:val="22"/>
          <w:szCs w:val="22"/>
        </w:rPr>
      </w:pPr>
    </w:p>
    <w:p w14:paraId="444C108E" w14:textId="40E0E794" w:rsidR="00AC27EF"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Urinary 1-hydroxypyrene results reflect systemic exposure to polycyclic aromatic hydrocarbons that may have entered the body by inhalation or through the skin. If biological monitoring results are greater than the guidance value, it does not necessarily mean that ill health will occur, but it does mean that exposure is not being adequately controlled.  An elevated result should be re-tested as soon as possible to help establish whether it represents ongoing workplace exposure or a ‘one-off’ event. If necessary, employers will need to look at current work practices to see how they can be improved to reduce exposure.</w:t>
      </w:r>
    </w:p>
    <w:p w14:paraId="0F20FD66" w14:textId="77777777" w:rsidR="004D7CF0" w:rsidRPr="004D7CF0" w:rsidRDefault="004D7CF0" w:rsidP="00AC27EF">
      <w:pPr>
        <w:rPr>
          <w:rFonts w:asciiTheme="majorHAnsi" w:hAnsiTheme="majorHAnsi" w:cstheme="majorHAnsi"/>
          <w:sz w:val="22"/>
          <w:szCs w:val="22"/>
        </w:rPr>
      </w:pPr>
    </w:p>
    <w:p w14:paraId="3523FCBD" w14:textId="7FA5E35B" w:rsidR="00AC27EF" w:rsidRPr="004D7CF0" w:rsidRDefault="00AC27EF" w:rsidP="00AC27EF">
      <w:pPr>
        <w:rPr>
          <w:rFonts w:asciiTheme="majorHAnsi" w:hAnsiTheme="majorHAnsi" w:cstheme="majorHAnsi"/>
          <w:b/>
          <w:bCs/>
          <w:i/>
          <w:iCs/>
          <w:sz w:val="22"/>
          <w:szCs w:val="22"/>
        </w:rPr>
      </w:pPr>
      <w:r w:rsidRPr="004D7CF0">
        <w:rPr>
          <w:rFonts w:asciiTheme="majorHAnsi" w:hAnsiTheme="majorHAnsi" w:cstheme="majorHAnsi"/>
          <w:b/>
          <w:bCs/>
          <w:i/>
          <w:iCs/>
          <w:sz w:val="22"/>
          <w:szCs w:val="22"/>
        </w:rPr>
        <w:t>Further information</w:t>
      </w:r>
    </w:p>
    <w:p w14:paraId="1A1007D5" w14:textId="77777777" w:rsidR="004D7CF0" w:rsidRPr="004D7CF0" w:rsidRDefault="004D7CF0" w:rsidP="00AC27EF">
      <w:pPr>
        <w:rPr>
          <w:rFonts w:asciiTheme="majorHAnsi" w:hAnsiTheme="majorHAnsi" w:cstheme="majorHAnsi"/>
          <w:b/>
          <w:bCs/>
          <w:sz w:val="22"/>
          <w:szCs w:val="22"/>
        </w:rPr>
      </w:pPr>
    </w:p>
    <w:p w14:paraId="40A3C0BE"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 xml:space="preserve">EH40 List of Approved Workplace Exposure Limits </w:t>
      </w:r>
      <w:hyperlink r:id="rId7" w:history="1">
        <w:r w:rsidRPr="004D7CF0">
          <w:rPr>
            <w:rStyle w:val="Hyperlink"/>
            <w:rFonts w:asciiTheme="majorHAnsi" w:hAnsiTheme="majorHAnsi" w:cstheme="majorHAnsi"/>
            <w:sz w:val="22"/>
            <w:szCs w:val="22"/>
          </w:rPr>
          <w:t>http://www.hse.gov.uk/pubns/books/eh40.htm</w:t>
        </w:r>
      </w:hyperlink>
    </w:p>
    <w:p w14:paraId="652609F2"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4D7CF0">
          <w:rPr>
            <w:rStyle w:val="Hyperlink"/>
            <w:rFonts w:asciiTheme="majorHAnsi" w:hAnsiTheme="majorHAnsi" w:cstheme="majorHAnsi"/>
            <w:sz w:val="22"/>
            <w:szCs w:val="22"/>
          </w:rPr>
          <w:t>BOHS-Biological-Monitoring-A-tool-for-helping-to-assess-workplace-exposure-rebranded.pdf</w:t>
        </w:r>
      </w:hyperlink>
    </w:p>
    <w:p w14:paraId="7F586958" w14:textId="77777777" w:rsidR="00AC27EF" w:rsidRPr="004D7CF0" w:rsidRDefault="00AC27EF" w:rsidP="00AC27EF">
      <w:pPr>
        <w:rPr>
          <w:rFonts w:asciiTheme="majorHAnsi" w:hAnsiTheme="majorHAnsi" w:cstheme="majorHAnsi"/>
          <w:sz w:val="22"/>
          <w:szCs w:val="22"/>
        </w:rPr>
      </w:pPr>
      <w:r w:rsidRPr="004D7CF0">
        <w:rPr>
          <w:rFonts w:asciiTheme="majorHAnsi" w:hAnsiTheme="majorHAnsi" w:cstheme="majorHAnsi"/>
          <w:sz w:val="22"/>
          <w:szCs w:val="22"/>
        </w:rPr>
        <w:t xml:space="preserve">Unwin, J., Cocker, J., </w:t>
      </w:r>
      <w:proofErr w:type="spellStart"/>
      <w:r w:rsidRPr="004D7CF0">
        <w:rPr>
          <w:rFonts w:asciiTheme="majorHAnsi" w:hAnsiTheme="majorHAnsi" w:cstheme="majorHAnsi"/>
          <w:sz w:val="22"/>
          <w:szCs w:val="22"/>
        </w:rPr>
        <w:t>Scobbie</w:t>
      </w:r>
      <w:proofErr w:type="spellEnd"/>
      <w:r w:rsidRPr="004D7CF0">
        <w:rPr>
          <w:rFonts w:asciiTheme="majorHAnsi" w:hAnsiTheme="majorHAnsi" w:cstheme="majorHAnsi"/>
          <w:sz w:val="22"/>
          <w:szCs w:val="22"/>
        </w:rPr>
        <w:t xml:space="preserve">, E. and Chambers, H., 2006. An assessment of occupational exposure to polycyclic aromatic hydrocarbons in the UK. Annals of Occupational Hygiene, 50(4), pp.395-403. </w:t>
      </w:r>
    </w:p>
    <w:p w14:paraId="7DCE4C67" w14:textId="5B5F087A" w:rsidR="00AC27EF" w:rsidRPr="004D7CF0" w:rsidRDefault="004D7CF0" w:rsidP="00AC27EF">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2336" behindDoc="0" locked="0" layoutInCell="1" allowOverlap="1" wp14:anchorId="2A2381D9" wp14:editId="67D517F2">
                <wp:simplePos x="0" y="0"/>
                <wp:positionH relativeFrom="margin">
                  <wp:align>right</wp:align>
                </wp:positionH>
                <wp:positionV relativeFrom="paragraph">
                  <wp:posOffset>331470</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54937337" w14:textId="77777777" w:rsidR="004D7CF0"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7B7E62A" w14:textId="77777777" w:rsidR="004D7CF0" w:rsidRPr="0093432D" w:rsidRDefault="004D7CF0" w:rsidP="004D7CF0">
                            <w:pPr>
                              <w:rPr>
                                <w:rFonts w:asciiTheme="majorHAnsi" w:hAnsiTheme="majorHAnsi" w:cstheme="majorHAnsi"/>
                                <w:sz w:val="22"/>
                                <w:szCs w:val="22"/>
                              </w:rPr>
                            </w:pPr>
                          </w:p>
                          <w:p w14:paraId="2505A34A" w14:textId="77777777" w:rsidR="004D7CF0" w:rsidRPr="0093432D"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6456130A" w14:textId="77777777" w:rsidR="004D7CF0" w:rsidRPr="0093432D"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55255992" w14:textId="77777777" w:rsidR="004D7CF0" w:rsidRPr="0093432D"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0203 028 3383</w:t>
                            </w:r>
                          </w:p>
                          <w:p w14:paraId="14EA284F" w14:textId="77777777" w:rsidR="004D7CF0" w:rsidRPr="0093432D" w:rsidRDefault="004D7CF0" w:rsidP="004D7CF0">
                            <w:pPr>
                              <w:rPr>
                                <w:rFonts w:asciiTheme="majorHAnsi" w:hAnsiTheme="majorHAnsi" w:cstheme="majorHAnsi"/>
                                <w:sz w:val="22"/>
                                <w:szCs w:val="22"/>
                              </w:rPr>
                            </w:pPr>
                          </w:p>
                          <w:p w14:paraId="7619123F" w14:textId="77777777" w:rsidR="004D7CF0" w:rsidRPr="0093432D" w:rsidRDefault="004D7CF0" w:rsidP="004D7CF0">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3ADDF9E4" w14:textId="77777777" w:rsidR="004D7CF0" w:rsidRPr="0093432D" w:rsidRDefault="004D7CF0" w:rsidP="004D7CF0">
                            <w:pPr>
                              <w:rPr>
                                <w:rFonts w:asciiTheme="majorHAnsi" w:hAnsiTheme="majorHAnsi" w:cstheme="majorHAnsi"/>
                                <w:b/>
                                <w:bCs/>
                                <w:sz w:val="22"/>
                                <w:szCs w:val="22"/>
                              </w:rPr>
                            </w:pPr>
                          </w:p>
                          <w:p w14:paraId="70C8752B" w14:textId="77777777" w:rsidR="004D7CF0" w:rsidRPr="0093432D" w:rsidRDefault="004D7CF0" w:rsidP="004D7CF0">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381D9" id="_x0000_s1029" type="#_x0000_t202" style="position:absolute;margin-left:398.8pt;margin-top:26.1pt;width:450pt;height:13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">
                <v:textbox>
                  <w:txbxContent>
                    <w:p w14:paraId="54937337" w14:textId="77777777" w:rsidR="004D7CF0"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7B7E62A" w14:textId="77777777" w:rsidR="004D7CF0" w:rsidRPr="0093432D" w:rsidRDefault="004D7CF0" w:rsidP="004D7CF0">
                      <w:pPr>
                        <w:rPr>
                          <w:rFonts w:asciiTheme="majorHAnsi" w:hAnsiTheme="majorHAnsi" w:cstheme="majorHAnsi"/>
                          <w:sz w:val="22"/>
                          <w:szCs w:val="22"/>
                        </w:rPr>
                      </w:pPr>
                    </w:p>
                    <w:p w14:paraId="2505A34A" w14:textId="77777777" w:rsidR="004D7CF0" w:rsidRPr="0093432D"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6456130A" w14:textId="77777777" w:rsidR="004D7CF0" w:rsidRPr="0093432D"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55255992" w14:textId="77777777" w:rsidR="004D7CF0" w:rsidRPr="0093432D" w:rsidRDefault="004D7CF0" w:rsidP="004D7CF0">
                      <w:pPr>
                        <w:rPr>
                          <w:rFonts w:asciiTheme="majorHAnsi" w:hAnsiTheme="majorHAnsi" w:cstheme="majorHAnsi"/>
                          <w:sz w:val="22"/>
                          <w:szCs w:val="22"/>
                        </w:rPr>
                      </w:pPr>
                      <w:r w:rsidRPr="0093432D">
                        <w:rPr>
                          <w:rFonts w:asciiTheme="majorHAnsi" w:hAnsiTheme="majorHAnsi" w:cstheme="majorHAnsi"/>
                          <w:sz w:val="22"/>
                          <w:szCs w:val="22"/>
                        </w:rPr>
                        <w:t>0203 028 3383</w:t>
                      </w:r>
                    </w:p>
                    <w:p w14:paraId="14EA284F" w14:textId="77777777" w:rsidR="004D7CF0" w:rsidRPr="0093432D" w:rsidRDefault="004D7CF0" w:rsidP="004D7CF0">
                      <w:pPr>
                        <w:rPr>
                          <w:rFonts w:asciiTheme="majorHAnsi" w:hAnsiTheme="majorHAnsi" w:cstheme="majorHAnsi"/>
                          <w:sz w:val="22"/>
                          <w:szCs w:val="22"/>
                        </w:rPr>
                      </w:pPr>
                    </w:p>
                    <w:p w14:paraId="7619123F" w14:textId="77777777" w:rsidR="004D7CF0" w:rsidRPr="0093432D" w:rsidRDefault="004D7CF0" w:rsidP="004D7CF0">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3ADDF9E4" w14:textId="77777777" w:rsidR="004D7CF0" w:rsidRPr="0093432D" w:rsidRDefault="004D7CF0" w:rsidP="004D7CF0">
                      <w:pPr>
                        <w:rPr>
                          <w:rFonts w:asciiTheme="majorHAnsi" w:hAnsiTheme="majorHAnsi" w:cstheme="majorHAnsi"/>
                          <w:b/>
                          <w:bCs/>
                          <w:sz w:val="22"/>
                          <w:szCs w:val="22"/>
                        </w:rPr>
                      </w:pPr>
                    </w:p>
                    <w:p w14:paraId="70C8752B" w14:textId="77777777" w:rsidR="004D7CF0" w:rsidRPr="0093432D" w:rsidRDefault="004D7CF0" w:rsidP="004D7CF0">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6E55F9EF" w14:textId="73032994" w:rsidR="00AC27EF" w:rsidRPr="004D7CF0" w:rsidRDefault="00AC27EF" w:rsidP="00AC27EF">
      <w:pPr>
        <w:rPr>
          <w:rFonts w:asciiTheme="majorHAnsi" w:hAnsiTheme="majorHAnsi" w:cstheme="majorHAnsi"/>
          <w:sz w:val="22"/>
          <w:szCs w:val="22"/>
        </w:rPr>
      </w:pPr>
    </w:p>
    <w:p w14:paraId="36AFD311" w14:textId="2D363ED0" w:rsidR="00AC27EF" w:rsidRPr="009E2D03" w:rsidRDefault="00AC27EF" w:rsidP="009E2D03">
      <w:pPr>
        <w:pStyle w:val="Footer"/>
        <w:jc w:val="center"/>
        <w:rPr>
          <w:rFonts w:asciiTheme="majorHAnsi" w:hAnsiTheme="majorHAnsi" w:cstheme="majorHAnsi"/>
          <w:b/>
          <w:bCs/>
          <w:color w:val="990033"/>
          <w:sz w:val="32"/>
          <w:szCs w:val="32"/>
          <w:u w:val="single"/>
        </w:rPr>
      </w:pPr>
    </w:p>
    <w:sectPr w:rsidR="00AC27EF"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40537F"/>
    <w:rsid w:val="004D7CF0"/>
    <w:rsid w:val="00584465"/>
    <w:rsid w:val="00647712"/>
    <w:rsid w:val="007536AD"/>
    <w:rsid w:val="00804D3E"/>
    <w:rsid w:val="008566DB"/>
    <w:rsid w:val="0093432D"/>
    <w:rsid w:val="009D662C"/>
    <w:rsid w:val="009E2D03"/>
    <w:rsid w:val="00A03926"/>
    <w:rsid w:val="00A23A85"/>
    <w:rsid w:val="00AC27EF"/>
    <w:rsid w:val="00B551A1"/>
    <w:rsid w:val="00C846D1"/>
    <w:rsid w:val="00C94AF7"/>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78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2022-07-07T14:44:00Z</dcterms:created>
  <dcterms:modified xsi:type="dcterms:W3CDTF">2022-08-01T15:28:00Z</dcterms:modified>
</cp:coreProperties>
</file>